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232" w:rsidRDefault="00680232" w:rsidP="0033306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Приложение к </w:t>
      </w:r>
      <w:r w:rsidR="00895B65">
        <w:rPr>
          <w:rFonts w:ascii="Times New Roman" w:hAnsi="Times New Roman" w:cs="Times New Roman"/>
          <w:sz w:val="24"/>
          <w:szCs w:val="24"/>
        </w:rPr>
        <w:t>постановлению</w:t>
      </w:r>
      <w:r w:rsidR="00145F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680232" w:rsidRDefault="00680232" w:rsidP="0033306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города Батайска от</w:t>
      </w:r>
      <w:r w:rsidR="00860CDF">
        <w:rPr>
          <w:rFonts w:ascii="Times New Roman" w:hAnsi="Times New Roman" w:cs="Times New Roman"/>
          <w:sz w:val="24"/>
          <w:szCs w:val="24"/>
        </w:rPr>
        <w:t xml:space="preserve"> 30.04.2015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860CDF">
        <w:rPr>
          <w:rFonts w:ascii="Times New Roman" w:hAnsi="Times New Roman" w:cs="Times New Roman"/>
          <w:sz w:val="24"/>
          <w:szCs w:val="24"/>
        </w:rPr>
        <w:t xml:space="preserve"> 835</w:t>
      </w:r>
    </w:p>
    <w:p w:rsidR="00680232" w:rsidRDefault="00680232" w:rsidP="0033306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F1F69" w:rsidRDefault="00333068" w:rsidP="00333068">
      <w:pPr>
        <w:jc w:val="center"/>
        <w:rPr>
          <w:rFonts w:ascii="Times New Roman" w:hAnsi="Times New Roman" w:cs="Times New Roman"/>
          <w:sz w:val="24"/>
          <w:szCs w:val="24"/>
        </w:rPr>
      </w:pPr>
      <w:r w:rsidRPr="00333068">
        <w:rPr>
          <w:rFonts w:ascii="Times New Roman" w:hAnsi="Times New Roman" w:cs="Times New Roman"/>
          <w:sz w:val="24"/>
          <w:szCs w:val="24"/>
        </w:rPr>
        <w:t>Отчет о реализации муниципальной программы города Батайска «Управление муниципальными финансами» за 2014 год</w:t>
      </w:r>
    </w:p>
    <w:p w:rsidR="00333068" w:rsidRDefault="00333068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 программа города Батайска «Управление муниципальными финансами»  утверждена постановлением Администрации города Батайска от 01.11.2013 № 424 (далее муниципальная программа). На реализацию муниципальной программы в 2014 году предусмотрено 10 093,9 тыс.рублей. Фактическое освоение средств муниципальной программы по итогам 2014 года составило 10 091,0 тыс.рублей, или 100%.</w:t>
      </w:r>
    </w:p>
    <w:p w:rsidR="00333068" w:rsidRDefault="00333068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Муниципальная программа включает в себя  следующие подпрограммы:</w:t>
      </w:r>
    </w:p>
    <w:p w:rsidR="00333068" w:rsidRDefault="00333068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1 – «Долгосрочное финансовое планирование»;</w:t>
      </w:r>
    </w:p>
    <w:p w:rsidR="00333068" w:rsidRDefault="00333068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="001C250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«Нормативно-методическое обеспечение и организация бюджетного процесса»</w:t>
      </w:r>
    </w:p>
    <w:p w:rsidR="00333068" w:rsidRDefault="00333068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3 – «Управление муниципальным долгом города Батайска»</w:t>
      </w:r>
      <w:r w:rsidR="001C2504">
        <w:rPr>
          <w:rFonts w:ascii="Times New Roman" w:hAnsi="Times New Roman" w:cs="Times New Roman"/>
          <w:sz w:val="24"/>
          <w:szCs w:val="24"/>
        </w:rPr>
        <w:t>.</w:t>
      </w:r>
    </w:p>
    <w:p w:rsidR="001C2504" w:rsidRDefault="001C2504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реализацию основных мероприятий подпрограммы 1 «Долгосрочное бюджетное планирование» расходы бюджета города не предусмотрены. Основные мероприятия подпрограммы реализовывались в течени</w:t>
      </w:r>
      <w:r w:rsidR="007A2D0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2014 года на постоянной основе.</w:t>
      </w:r>
    </w:p>
    <w:p w:rsidR="007A2D02" w:rsidRDefault="007A2D02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отчетный год  в бюджет города поступило 878 052,0 тыс.рублей налоговых и неналоговых доходов, что составило 97,2 % к поступлениям 2013 года в сопоставимых условиях. Снижение поступлений в основном произошло  по земельному налогу и по доходам от арендной платы за землю, продаже права аренды по следующим причинам:</w:t>
      </w:r>
    </w:p>
    <w:p w:rsidR="007A2D02" w:rsidRDefault="007A2D02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уплата муниципальными учреждениями земельного налога досрочно в 2013 году за 4 квартал 2013 года,</w:t>
      </w:r>
    </w:p>
    <w:p w:rsidR="007A2D02" w:rsidRDefault="007A2D02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рост недоимки по земельному налогу и задолженности по арендной плате за землю,</w:t>
      </w:r>
    </w:p>
    <w:p w:rsidR="007A2D02" w:rsidRDefault="007A2D02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F5FF1">
        <w:rPr>
          <w:rFonts w:ascii="Times New Roman" w:hAnsi="Times New Roman" w:cs="Times New Roman"/>
          <w:sz w:val="24"/>
          <w:szCs w:val="24"/>
        </w:rPr>
        <w:t>несост</w:t>
      </w:r>
      <w:r w:rsidR="000D1353">
        <w:rPr>
          <w:rFonts w:ascii="Times New Roman" w:hAnsi="Times New Roman" w:cs="Times New Roman"/>
          <w:sz w:val="24"/>
          <w:szCs w:val="24"/>
        </w:rPr>
        <w:t>о</w:t>
      </w:r>
      <w:r w:rsidR="005F5FF1">
        <w:rPr>
          <w:rFonts w:ascii="Times New Roman" w:hAnsi="Times New Roman" w:cs="Times New Roman"/>
          <w:sz w:val="24"/>
          <w:szCs w:val="24"/>
        </w:rPr>
        <w:t>явшиеся торги по продаже права аренды земельных участков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E1574" w:rsidRDefault="00BE1574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Плановые назначения по налоговым и неналоговым доходам исполнены на 92,4%.</w:t>
      </w:r>
    </w:p>
    <w:p w:rsidR="00BE1574" w:rsidRDefault="00BE1574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Значительное неисполнение произошло </w:t>
      </w:r>
    </w:p>
    <w:p w:rsidR="00BE1574" w:rsidRDefault="00BE1574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налогу на доходы физических лиц (-9,9% или -28,5 млн.рублей) по причине отсутствия запланированного роста уровня заработной платы, заложенного в прогнозе социально-экономического развития города, неуплатой налога отдельными организациями;</w:t>
      </w:r>
    </w:p>
    <w:p w:rsidR="00BE1574" w:rsidRDefault="00BE1574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земельному налогу (-6,2 % или -17,8 млн.рублей)</w:t>
      </w:r>
      <w:r w:rsidR="009D2208">
        <w:rPr>
          <w:rFonts w:ascii="Times New Roman" w:hAnsi="Times New Roman" w:cs="Times New Roman"/>
          <w:sz w:val="24"/>
          <w:szCs w:val="24"/>
        </w:rPr>
        <w:t xml:space="preserve"> в связи с ростом недоимки, а также снижением кадастровой стоимости отдельных земельных участков по решениям суда;</w:t>
      </w:r>
    </w:p>
    <w:p w:rsidR="009D2208" w:rsidRDefault="009D2208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 от реализации имущества, находящегося в муниципальной собственности (-86,8 % или -8,7 млн.рублей).</w:t>
      </w:r>
    </w:p>
    <w:p w:rsidR="00851BB5" w:rsidRDefault="00851BB5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За 2014 год налоговая недоимка в консолидированный бюджет по городу Батайску возросла на 22493,4 тыс.рублей ( с 83271,1 тыс.рублей на 01.01.2014 до 105764,5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тыс.рублей на 01.01.2015). В структуре налоговой недоимки </w:t>
      </w:r>
      <w:r w:rsidR="00ED7B45">
        <w:rPr>
          <w:rFonts w:ascii="Times New Roman" w:hAnsi="Times New Roman" w:cs="Times New Roman"/>
          <w:sz w:val="24"/>
          <w:szCs w:val="24"/>
        </w:rPr>
        <w:t>основную долю составляет недоимка по транспортному налогу с физических лиц (35%), налогу на прибыль организаций (23,3%), земельному налогу (19,2%).</w:t>
      </w:r>
    </w:p>
    <w:p w:rsidR="00ED7B45" w:rsidRDefault="00ED7B45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Рост недоимки за 2014 год</w:t>
      </w:r>
      <w:r w:rsidR="00430B0E">
        <w:rPr>
          <w:rFonts w:ascii="Times New Roman" w:hAnsi="Times New Roman" w:cs="Times New Roman"/>
          <w:sz w:val="24"/>
          <w:szCs w:val="24"/>
        </w:rPr>
        <w:t xml:space="preserve"> обусловлен следующими причинами:</w:t>
      </w:r>
    </w:p>
    <w:p w:rsidR="00430B0E" w:rsidRDefault="00430B0E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доначисления по результатам выездных проверок налоговых органов,</w:t>
      </w:r>
    </w:p>
    <w:p w:rsidR="00430B0E" w:rsidRDefault="00430B0E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неуплата имущественных налогов физическими лицами (начисления за 2013 год</w:t>
      </w:r>
      <w:r w:rsidR="00DF499B">
        <w:rPr>
          <w:rFonts w:ascii="Times New Roman" w:hAnsi="Times New Roman" w:cs="Times New Roman"/>
          <w:sz w:val="24"/>
          <w:szCs w:val="24"/>
        </w:rPr>
        <w:t xml:space="preserve"> по сроку 01.11.2014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795092" w:rsidRPr="00795092" w:rsidRDefault="00795092" w:rsidP="0079509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092">
        <w:rPr>
          <w:rFonts w:ascii="Times New Roman" w:hAnsi="Times New Roman" w:cs="Times New Roman"/>
          <w:sz w:val="24"/>
          <w:szCs w:val="24"/>
        </w:rPr>
        <w:t>Бюджет города на 2014 год и на плановый период 2015 и 2016 годов сформирован по программной структуре на основе вновь утвержденных Администрацией города муниципальных программ.</w:t>
      </w:r>
    </w:p>
    <w:p w:rsidR="00795092" w:rsidRPr="00795092" w:rsidRDefault="00795092" w:rsidP="00795092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092">
        <w:rPr>
          <w:rFonts w:ascii="Times New Roman" w:hAnsi="Times New Roman" w:cs="Times New Roman"/>
          <w:spacing w:val="-6"/>
          <w:sz w:val="24"/>
          <w:szCs w:val="24"/>
        </w:rPr>
        <w:t>Правовые основания для формирования и реализации с 1 января 2014 года</w:t>
      </w:r>
      <w:r w:rsidRPr="00795092">
        <w:rPr>
          <w:rFonts w:ascii="Times New Roman" w:hAnsi="Times New Roman" w:cs="Times New Roman"/>
          <w:sz w:val="24"/>
          <w:szCs w:val="24"/>
        </w:rPr>
        <w:t xml:space="preserve"> муниципальных программ установлены Бюджетным кодексом Российской Федерации. </w:t>
      </w:r>
    </w:p>
    <w:p w:rsidR="00333068" w:rsidRDefault="00795092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 w:rsidRPr="00795092">
        <w:rPr>
          <w:rFonts w:ascii="Times New Roman" w:hAnsi="Times New Roman" w:cs="Times New Roman"/>
          <w:sz w:val="24"/>
          <w:szCs w:val="24"/>
        </w:rPr>
        <w:t>В соответствии с постановлением Администрации города Батайска от   8 октября 2013 года № 198 «Об утверждении Положения о порядке разработки, реализации и оценки эффективности муниципальных программ города Батайска» утверждены 20 муниципальных программ города Батайска</w:t>
      </w:r>
    </w:p>
    <w:p w:rsidR="00795092" w:rsidRDefault="00795092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По итогам 2014 года доля программных расходов в общей сумме расходов бюджета города составила 94,8 %.</w:t>
      </w:r>
    </w:p>
    <w:p w:rsidR="00795092" w:rsidRDefault="00795092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реализацию основных мероприятий подпрограммы 2 «Нормативно-методическое обеспечение и организация бюджетного процесса» на 2014 год пред</w:t>
      </w:r>
      <w:r w:rsidR="00D0324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смотрено 10093,9 тыс.рублей</w:t>
      </w:r>
      <w:r w:rsidR="00D03240">
        <w:rPr>
          <w:rFonts w:ascii="Times New Roman" w:hAnsi="Times New Roman" w:cs="Times New Roman"/>
          <w:sz w:val="24"/>
          <w:szCs w:val="24"/>
        </w:rPr>
        <w:t xml:space="preserve">. По итогам 2014 года заключено  </w:t>
      </w:r>
      <w:r w:rsidR="005928B2">
        <w:rPr>
          <w:rFonts w:ascii="Times New Roman" w:hAnsi="Times New Roman" w:cs="Times New Roman"/>
          <w:sz w:val="24"/>
          <w:szCs w:val="24"/>
        </w:rPr>
        <w:t xml:space="preserve">19 </w:t>
      </w:r>
      <w:r w:rsidR="00D03240">
        <w:rPr>
          <w:rFonts w:ascii="Times New Roman" w:hAnsi="Times New Roman" w:cs="Times New Roman"/>
          <w:sz w:val="24"/>
          <w:szCs w:val="24"/>
        </w:rPr>
        <w:t xml:space="preserve">муниципальных контрактов и договоров на общую сумму </w:t>
      </w:r>
      <w:r w:rsidR="005928B2">
        <w:rPr>
          <w:rFonts w:ascii="Times New Roman" w:hAnsi="Times New Roman" w:cs="Times New Roman"/>
          <w:sz w:val="24"/>
          <w:szCs w:val="24"/>
        </w:rPr>
        <w:t xml:space="preserve">483,5 </w:t>
      </w:r>
      <w:r w:rsidR="00D03240">
        <w:rPr>
          <w:rFonts w:ascii="Times New Roman" w:hAnsi="Times New Roman" w:cs="Times New Roman"/>
          <w:sz w:val="24"/>
          <w:szCs w:val="24"/>
        </w:rPr>
        <w:t>тыс.рублей. Фактическое освоение средств составило 10091,0 тыс.рублей, или 100 %.</w:t>
      </w:r>
    </w:p>
    <w:p w:rsidR="00510EDB" w:rsidRDefault="00510EDB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мероприятия подпрограммы 2 реализовывались в течение 2014 года на постоянной основе</w:t>
      </w:r>
      <w:r w:rsidR="004D3D1D">
        <w:rPr>
          <w:rFonts w:ascii="Times New Roman" w:hAnsi="Times New Roman" w:cs="Times New Roman"/>
          <w:sz w:val="24"/>
          <w:szCs w:val="24"/>
        </w:rPr>
        <w:t>.</w:t>
      </w:r>
    </w:p>
    <w:p w:rsidR="008F4AD9" w:rsidRDefault="008F4AD9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Проект бюджета города на 2014-2016 годы своевременно (до 15.11.2014) направлен в Батайскую городскую Думу.</w:t>
      </w:r>
      <w:r w:rsidR="00D81E45">
        <w:rPr>
          <w:rFonts w:ascii="Times New Roman" w:hAnsi="Times New Roman" w:cs="Times New Roman"/>
          <w:sz w:val="24"/>
          <w:szCs w:val="24"/>
        </w:rPr>
        <w:t xml:space="preserve"> В соответствие с требованиями законодательства 09.12.2013 проведены публичные слушания по проекту решения Батайской городской Думы «О бюджете города Батайска на 2014 год и на плановый период 2015 и 2016 годов».</w:t>
      </w:r>
    </w:p>
    <w:p w:rsidR="00C601DC" w:rsidRDefault="00C601DC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 города Батайска утвержден решением Батайской городской Думы от 11.12.2013 №282.</w:t>
      </w:r>
    </w:p>
    <w:p w:rsidR="00C601DC" w:rsidRDefault="00C601DC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2014 году в решение о бюджете изменения вносились</w:t>
      </w:r>
      <w:r w:rsidR="00536D16">
        <w:rPr>
          <w:rFonts w:ascii="Times New Roman" w:hAnsi="Times New Roman" w:cs="Times New Roman"/>
          <w:sz w:val="24"/>
          <w:szCs w:val="24"/>
        </w:rPr>
        <w:t xml:space="preserve"> 6 раз.</w:t>
      </w:r>
    </w:p>
    <w:p w:rsidR="00536D16" w:rsidRDefault="00536D16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того, в связи с изменениями, внесенными в Налоговый кодекс Российской Федерации, подготовлены следующие решения Батайской городской Думы:</w:t>
      </w:r>
    </w:p>
    <w:p w:rsidR="00536D16" w:rsidRDefault="00582E22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536D16">
        <w:rPr>
          <w:rFonts w:ascii="Times New Roman" w:hAnsi="Times New Roman" w:cs="Times New Roman"/>
          <w:sz w:val="24"/>
          <w:szCs w:val="24"/>
        </w:rPr>
        <w:t xml:space="preserve">т 29.10.2014 №14 «О внесении изменений в статью 7 решения Батайской городской Думы от 30 ноября 2010 года №81 «Об установлении земельного налога» (в редакции от 28.04.2011 №109, от 30.06.2011 №121, от </w:t>
      </w:r>
      <w:r w:rsidR="00C07D1F">
        <w:rPr>
          <w:rFonts w:ascii="Times New Roman" w:hAnsi="Times New Roman" w:cs="Times New Roman"/>
          <w:sz w:val="24"/>
          <w:szCs w:val="24"/>
        </w:rPr>
        <w:t>27.10.2011 №142,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7D1F">
        <w:rPr>
          <w:rFonts w:ascii="Times New Roman" w:hAnsi="Times New Roman" w:cs="Times New Roman"/>
          <w:sz w:val="24"/>
          <w:szCs w:val="24"/>
        </w:rPr>
        <w:t>22.02.2012 №179, от 25.07.2012 №201, от 30.01.2013 №241)»</w:t>
      </w:r>
      <w:r w:rsidR="000C3377">
        <w:rPr>
          <w:rFonts w:ascii="Times New Roman" w:hAnsi="Times New Roman" w:cs="Times New Roman"/>
          <w:sz w:val="24"/>
          <w:szCs w:val="24"/>
        </w:rPr>
        <w:t>.</w:t>
      </w:r>
    </w:p>
    <w:p w:rsidR="00C07D1F" w:rsidRDefault="00582E22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07D1F">
        <w:rPr>
          <w:rFonts w:ascii="Times New Roman" w:hAnsi="Times New Roman" w:cs="Times New Roman"/>
          <w:sz w:val="24"/>
          <w:szCs w:val="24"/>
        </w:rPr>
        <w:t>т 26.11.2014 № 22 «О налоге на имущество физических лиц»,</w:t>
      </w:r>
    </w:p>
    <w:p w:rsidR="004D3D1D" w:rsidRDefault="00582E22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="00C07D1F">
        <w:rPr>
          <w:rFonts w:ascii="Times New Roman" w:hAnsi="Times New Roman" w:cs="Times New Roman"/>
          <w:sz w:val="24"/>
          <w:szCs w:val="24"/>
        </w:rPr>
        <w:t>т 26.11.2014 №23 «О внесении изменений</w:t>
      </w:r>
      <w:r>
        <w:rPr>
          <w:rFonts w:ascii="Times New Roman" w:hAnsi="Times New Roman" w:cs="Times New Roman"/>
          <w:sz w:val="24"/>
          <w:szCs w:val="24"/>
        </w:rPr>
        <w:t xml:space="preserve"> в решение Батайской городской Думы от 30 ноября 2010 года №81 «Об установлении земельного налога»</w:t>
      </w:r>
      <w:r w:rsidRPr="00582E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 редакции от 28.04.2011 №109, от 30.06.2011 №121, от 27.10.2011 №142, от 22.02.2012 №179, от 25.07.2012 №201, от 30.01.2013 №241, от 29.10.2014 №14).</w:t>
      </w:r>
    </w:p>
    <w:p w:rsidR="000C3377" w:rsidRDefault="000C3377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На реализацию основных мероприятий подпрограммы 3 «Управление муниципальным долгом города Батайска» по итогам 2014 года расходы бюджета города не </w:t>
      </w:r>
      <w:r w:rsidR="00742A7A">
        <w:rPr>
          <w:rFonts w:ascii="Times New Roman" w:hAnsi="Times New Roman" w:cs="Times New Roman"/>
          <w:sz w:val="24"/>
          <w:szCs w:val="24"/>
        </w:rPr>
        <w:t>предусмотрены. Основные мероприятия подпрограммы реализовывались в течение 2014 года на постоянной основе.  В рамках реализации основных</w:t>
      </w:r>
      <w:r w:rsidR="006E1EE8">
        <w:rPr>
          <w:rFonts w:ascii="Times New Roman" w:hAnsi="Times New Roman" w:cs="Times New Roman"/>
          <w:sz w:val="24"/>
          <w:szCs w:val="24"/>
        </w:rPr>
        <w:t xml:space="preserve"> мероприятий подпрограммы 3 по итогам 2014 года показатели объёма муниципального долга и расходов на его обслуживание, предусмотренные в бюджете города на 2014-2016 годы, соответствуют ограничениям, установленным  бюджетным законодательством. </w:t>
      </w:r>
    </w:p>
    <w:p w:rsidR="00680232" w:rsidRDefault="00680232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к отчету:</w:t>
      </w:r>
    </w:p>
    <w:p w:rsidR="00680232" w:rsidRDefault="00680232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 «Сведения о достижении значений индикаторов (показателей),</w:t>
      </w:r>
    </w:p>
    <w:p w:rsidR="00680232" w:rsidRDefault="00680232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 «Сведения о степени выполнения основных мероприятий подпрограмм муниципальной программы»,</w:t>
      </w:r>
    </w:p>
    <w:p w:rsidR="00680232" w:rsidRDefault="00680232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 «Сведения об использовании местного бюджета, областного бюджета, федерального и внебюджетных источников на реализацию муниципальной программы «Управление муниципальными финансами» за 2014 год».</w:t>
      </w:r>
    </w:p>
    <w:p w:rsidR="00895B65" w:rsidRDefault="00895B65" w:rsidP="0079509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5B65" w:rsidRDefault="00895B65" w:rsidP="0079509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5B65" w:rsidRDefault="00895B65" w:rsidP="0079509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общего отдела</w:t>
      </w:r>
    </w:p>
    <w:p w:rsidR="00895B65" w:rsidRPr="00795092" w:rsidRDefault="00895B65" w:rsidP="0079509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Батайска                                                       В.С.Мирошникова</w:t>
      </w:r>
    </w:p>
    <w:sectPr w:rsidR="00895B65" w:rsidRPr="00795092" w:rsidSect="0068023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20E" w:rsidRDefault="0083720E" w:rsidP="006E1EE8">
      <w:pPr>
        <w:spacing w:after="0" w:line="240" w:lineRule="auto"/>
      </w:pPr>
      <w:r>
        <w:separator/>
      </w:r>
    </w:p>
  </w:endnote>
  <w:endnote w:type="continuationSeparator" w:id="1">
    <w:p w:rsidR="0083720E" w:rsidRDefault="0083720E" w:rsidP="006E1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20E" w:rsidRDefault="0083720E" w:rsidP="006E1EE8">
      <w:pPr>
        <w:spacing w:after="0" w:line="240" w:lineRule="auto"/>
      </w:pPr>
      <w:r>
        <w:separator/>
      </w:r>
    </w:p>
  </w:footnote>
  <w:footnote w:type="continuationSeparator" w:id="1">
    <w:p w:rsidR="0083720E" w:rsidRDefault="0083720E" w:rsidP="006E1E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3068"/>
    <w:rsid w:val="000C3377"/>
    <w:rsid w:val="000D1353"/>
    <w:rsid w:val="00145F92"/>
    <w:rsid w:val="0018744C"/>
    <w:rsid w:val="00187EAC"/>
    <w:rsid w:val="001C2504"/>
    <w:rsid w:val="001C3050"/>
    <w:rsid w:val="00200B12"/>
    <w:rsid w:val="002A618C"/>
    <w:rsid w:val="00333068"/>
    <w:rsid w:val="003D22E1"/>
    <w:rsid w:val="00416298"/>
    <w:rsid w:val="00430B0E"/>
    <w:rsid w:val="004D3D1D"/>
    <w:rsid w:val="00510EDB"/>
    <w:rsid w:val="00536D16"/>
    <w:rsid w:val="00582E22"/>
    <w:rsid w:val="005928B2"/>
    <w:rsid w:val="005F5FF1"/>
    <w:rsid w:val="006712D0"/>
    <w:rsid w:val="00680232"/>
    <w:rsid w:val="006E1EE8"/>
    <w:rsid w:val="00706330"/>
    <w:rsid w:val="00742A7A"/>
    <w:rsid w:val="00795092"/>
    <w:rsid w:val="007A2D02"/>
    <w:rsid w:val="007F2DF5"/>
    <w:rsid w:val="00802AD2"/>
    <w:rsid w:val="0083720E"/>
    <w:rsid w:val="00851BB5"/>
    <w:rsid w:val="00860CDF"/>
    <w:rsid w:val="00895B65"/>
    <w:rsid w:val="008F4AD9"/>
    <w:rsid w:val="00902A05"/>
    <w:rsid w:val="0094645E"/>
    <w:rsid w:val="009D2208"/>
    <w:rsid w:val="009E609B"/>
    <w:rsid w:val="00A81F25"/>
    <w:rsid w:val="00AA1174"/>
    <w:rsid w:val="00B35574"/>
    <w:rsid w:val="00BE1574"/>
    <w:rsid w:val="00C07D1F"/>
    <w:rsid w:val="00C601DC"/>
    <w:rsid w:val="00D03240"/>
    <w:rsid w:val="00D11430"/>
    <w:rsid w:val="00D81E45"/>
    <w:rsid w:val="00DF1F69"/>
    <w:rsid w:val="00DF499B"/>
    <w:rsid w:val="00E03394"/>
    <w:rsid w:val="00ED7B45"/>
    <w:rsid w:val="00F205D1"/>
    <w:rsid w:val="00F46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aliases w:val="Основной текст1 Знак,Основной текст Знак Знак Знак,bt Знак"/>
    <w:basedOn w:val="a0"/>
    <w:link w:val="a3"/>
    <w:semiHidden/>
    <w:locked/>
    <w:rsid w:val="00795092"/>
    <w:rPr>
      <w:sz w:val="28"/>
    </w:rPr>
  </w:style>
  <w:style w:type="paragraph" w:styleId="a3">
    <w:name w:val="Body Text"/>
    <w:aliases w:val="Основной текст1,Основной текст Знак Знак,bt"/>
    <w:basedOn w:val="a"/>
    <w:link w:val="1"/>
    <w:semiHidden/>
    <w:unhideWhenUsed/>
    <w:rsid w:val="00795092"/>
    <w:pPr>
      <w:spacing w:after="0" w:line="240" w:lineRule="auto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795092"/>
  </w:style>
  <w:style w:type="paragraph" w:styleId="a5">
    <w:name w:val="header"/>
    <w:basedOn w:val="a"/>
    <w:link w:val="a6"/>
    <w:uiPriority w:val="99"/>
    <w:semiHidden/>
    <w:unhideWhenUsed/>
    <w:rsid w:val="006E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E1EE8"/>
  </w:style>
  <w:style w:type="paragraph" w:styleId="a7">
    <w:name w:val="footer"/>
    <w:basedOn w:val="a"/>
    <w:link w:val="a8"/>
    <w:uiPriority w:val="99"/>
    <w:semiHidden/>
    <w:unhideWhenUsed/>
    <w:rsid w:val="006E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E1E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5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6425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Инесса</dc:creator>
  <cp:keywords/>
  <dc:description/>
  <cp:lastModifiedBy>Black_Raven</cp:lastModifiedBy>
  <cp:revision>24</cp:revision>
  <cp:lastPrinted>2015-04-07T09:23:00Z</cp:lastPrinted>
  <dcterms:created xsi:type="dcterms:W3CDTF">2015-03-23T12:25:00Z</dcterms:created>
  <dcterms:modified xsi:type="dcterms:W3CDTF">2015-05-06T11:45:00Z</dcterms:modified>
</cp:coreProperties>
</file>